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B4F" w:rsidRDefault="00D10B4F">
      <w:bookmarkStart w:id="0" w:name="_GoBack"/>
      <w:bookmarkEnd w:id="0"/>
    </w:p>
    <w:p w:rsidR="00B90C60" w:rsidRDefault="00B90C60"/>
    <w:p w:rsidR="00B90C60" w:rsidRDefault="00B90C60" w:rsidP="00B90C60">
      <w:pPr>
        <w:spacing w:line="360" w:lineRule="auto"/>
        <w:rPr>
          <w:rFonts w:ascii="Calibri" w:eastAsia="Calibri" w:hAnsi="Calibri" w:cs="Calibri"/>
          <w:sz w:val="22"/>
          <w:szCs w:val="22"/>
          <w:lang w:val="es-CR" w:eastAsia="en-US"/>
        </w:rPr>
      </w:pPr>
      <w:r>
        <w:rPr>
          <w:rFonts w:ascii="Calibri" w:eastAsia="Calibri" w:hAnsi="Calibri" w:cs="Calibri"/>
          <w:sz w:val="22"/>
          <w:szCs w:val="22"/>
          <w:lang w:val="es-CR" w:eastAsia="en-US"/>
        </w:rPr>
        <w:t xml:space="preserve">Ficha </w:t>
      </w:r>
      <w:r w:rsidRPr="00C27CBF">
        <w:rPr>
          <w:rFonts w:ascii="Calibri" w:eastAsia="Calibri" w:hAnsi="Calibri" w:cs="Calibri"/>
          <w:sz w:val="22"/>
          <w:szCs w:val="22"/>
          <w:lang w:val="es-CR" w:eastAsia="en-US"/>
        </w:rPr>
        <w:t>técnica</w:t>
      </w:r>
      <w:r>
        <w:rPr>
          <w:rFonts w:ascii="Calibri" w:eastAsia="Calibri" w:hAnsi="Calibri" w:cs="Calibri"/>
          <w:sz w:val="22"/>
          <w:szCs w:val="22"/>
          <w:lang w:val="es-CR" w:eastAsia="en-US"/>
        </w:rPr>
        <w:t xml:space="preserve"> del indicador</w:t>
      </w:r>
    </w:p>
    <w:p w:rsidR="00B90C60" w:rsidRPr="00C27CBF" w:rsidRDefault="00B90C60" w:rsidP="00B90C60">
      <w:pPr>
        <w:spacing w:line="360" w:lineRule="auto"/>
        <w:rPr>
          <w:rFonts w:ascii="Calibri" w:eastAsia="Calibri" w:hAnsi="Calibri" w:cs="Calibri"/>
          <w:sz w:val="22"/>
          <w:szCs w:val="22"/>
          <w:lang w:val="es-CR" w:eastAsia="en-US"/>
        </w:rPr>
      </w:pPr>
      <w:r>
        <w:rPr>
          <w:rFonts w:ascii="Calibri" w:eastAsia="Calibri" w:hAnsi="Calibri" w:cs="Calibri"/>
          <w:sz w:val="22"/>
          <w:szCs w:val="22"/>
          <w:lang w:val="es-CR" w:eastAsia="en-US"/>
        </w:rPr>
        <w:t xml:space="preserve">Nombre del indicador: </w:t>
      </w:r>
      <w:r w:rsidR="00742806" w:rsidRPr="00742806">
        <w:rPr>
          <w:rFonts w:ascii="Calibri" w:eastAsia="Calibri" w:hAnsi="Calibri" w:cs="Calibri"/>
          <w:sz w:val="22"/>
          <w:szCs w:val="22"/>
          <w:lang w:val="es-CR" w:eastAsia="en-US"/>
        </w:rPr>
        <w:t>Reducir del tiempo en días de atención del permiso de perforación del subsuelo</w:t>
      </w:r>
    </w:p>
    <w:tbl>
      <w:tblPr>
        <w:tblStyle w:val="GFATableGrid1"/>
        <w:tblW w:w="9067" w:type="dxa"/>
        <w:tblLook w:val="01E0" w:firstRow="1" w:lastRow="1" w:firstColumn="1" w:lastColumn="1" w:noHBand="0" w:noVBand="0"/>
      </w:tblPr>
      <w:tblGrid>
        <w:gridCol w:w="1417"/>
        <w:gridCol w:w="1341"/>
        <w:gridCol w:w="6309"/>
      </w:tblGrid>
      <w:tr w:rsidR="00B90C60" w:rsidRPr="002F3CEF" w:rsidTr="0090152D">
        <w:trPr>
          <w:trHeight w:val="325"/>
          <w:tblHeader/>
        </w:trPr>
        <w:tc>
          <w:tcPr>
            <w:tcW w:w="2758" w:type="dxa"/>
            <w:gridSpan w:val="2"/>
            <w:shd w:val="clear" w:color="auto" w:fill="E7E6E6" w:themeFill="background2"/>
            <w:hideMark/>
          </w:tcPr>
          <w:p w:rsidR="00B90C60" w:rsidRPr="002F3CEF" w:rsidRDefault="00B90C60" w:rsidP="0090152D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Elemento</w:t>
            </w:r>
          </w:p>
        </w:tc>
        <w:tc>
          <w:tcPr>
            <w:tcW w:w="6309" w:type="dxa"/>
            <w:shd w:val="clear" w:color="auto" w:fill="E7E6E6" w:themeFill="background2"/>
            <w:hideMark/>
          </w:tcPr>
          <w:p w:rsidR="00B90C60" w:rsidRPr="002F3CEF" w:rsidRDefault="00B90C60" w:rsidP="0090152D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Descripción</w:t>
            </w:r>
          </w:p>
        </w:tc>
      </w:tr>
      <w:tr w:rsidR="00B90C60" w:rsidRPr="002F3CEF" w:rsidTr="004E7649">
        <w:trPr>
          <w:trHeight w:val="434"/>
        </w:trPr>
        <w:tc>
          <w:tcPr>
            <w:tcW w:w="2758" w:type="dxa"/>
            <w:gridSpan w:val="2"/>
          </w:tcPr>
          <w:p w:rsidR="00B90C60" w:rsidRPr="002F3CEF" w:rsidRDefault="00B90C60" w:rsidP="004E7649">
            <w:pPr>
              <w:pStyle w:val="Sinespaciado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Nombre del indicador</w:t>
            </w:r>
          </w:p>
        </w:tc>
        <w:tc>
          <w:tcPr>
            <w:tcW w:w="6309" w:type="dxa"/>
          </w:tcPr>
          <w:p w:rsidR="00B90C60" w:rsidRPr="002F3CEF" w:rsidRDefault="00742806" w:rsidP="004E7649">
            <w:pPr>
              <w:pStyle w:val="Sinespaciado"/>
              <w:jc w:val="both"/>
              <w:rPr>
                <w:rFonts w:ascii="Arial Narrow" w:hAnsi="Arial Narrow"/>
                <w:sz w:val="18"/>
                <w:szCs w:val="18"/>
                <w:lang w:val="es-CR" w:eastAsia="en-US"/>
              </w:rPr>
            </w:pPr>
            <w:r w:rsidRPr="00742806">
              <w:rPr>
                <w:rFonts w:ascii="Arial Narrow" w:hAnsi="Arial Narrow"/>
                <w:sz w:val="18"/>
                <w:szCs w:val="18"/>
                <w:lang w:val="es-CR" w:eastAsia="en-US"/>
              </w:rPr>
              <w:t>Reducir del tiempo  en días de atención del permiso de perforación del subsuelo</w:t>
            </w:r>
          </w:p>
        </w:tc>
      </w:tr>
      <w:tr w:rsidR="00F12183" w:rsidRPr="002F3CEF" w:rsidTr="0090152D">
        <w:trPr>
          <w:trHeight w:val="437"/>
        </w:trPr>
        <w:tc>
          <w:tcPr>
            <w:tcW w:w="2758" w:type="dxa"/>
            <w:gridSpan w:val="2"/>
            <w:hideMark/>
          </w:tcPr>
          <w:p w:rsidR="00F12183" w:rsidRPr="002F3CEF" w:rsidRDefault="00F12183" w:rsidP="00F12183">
            <w:pPr>
              <w:pStyle w:val="Sinespaciado"/>
              <w:rPr>
                <w:rFonts w:ascii="Arial Narrow" w:hAnsi="Arial Narrow"/>
                <w:b/>
                <w:sz w:val="18"/>
                <w:szCs w:val="18"/>
                <w:lang w:val="es-CR"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val="es-CR" w:eastAsia="en-US"/>
              </w:rPr>
              <w:t>Definición conceptual</w:t>
            </w:r>
          </w:p>
        </w:tc>
        <w:tc>
          <w:tcPr>
            <w:tcW w:w="6309" w:type="dxa"/>
            <w:hideMark/>
          </w:tcPr>
          <w:p w:rsidR="00133CBE" w:rsidRDefault="00F12183" w:rsidP="00133CBE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  <w:r w:rsidRPr="00F12183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 xml:space="preserve">La Dirección de Agua en su proceso de mejora continua y regulación de los trámites, está enfocada atender las solicitudes de los usuarios en un menor tiempo. Lo anterior, mediante una optimización de sus procesos, eliminando o ajustando pasos y requisitos que no generan valor. Esta optimización, está alineada a lo establecido en el Plan de Mejora Regulatoria (PMR) 2019 y al proyecto de Ventanilla Única de Inversión (VUI). Se tiene programado la optimización de los siguientes trámites: Permisos de perforación de </w:t>
            </w:r>
            <w:r w:rsidR="00E96361" w:rsidRPr="00F12183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pozo</w:t>
            </w:r>
            <w:r w:rsidR="00E96361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 xml:space="preserve">s, </w:t>
            </w:r>
            <w:r w:rsidR="00E96361" w:rsidRPr="00F12183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concesión</w:t>
            </w:r>
            <w:r w:rsidRPr="00F12183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 xml:space="preserve"> de agua superficial y el permiso de vertidos de agua residuales. </w:t>
            </w:r>
          </w:p>
          <w:p w:rsidR="00AA1261" w:rsidRPr="00133CBE" w:rsidRDefault="00AA1261" w:rsidP="00133CBE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</w:p>
        </w:tc>
      </w:tr>
      <w:tr w:rsidR="00F12183" w:rsidRPr="002F3CEF" w:rsidTr="0090152D">
        <w:trPr>
          <w:trHeight w:val="531"/>
        </w:trPr>
        <w:tc>
          <w:tcPr>
            <w:tcW w:w="2758" w:type="dxa"/>
            <w:gridSpan w:val="2"/>
            <w:hideMark/>
          </w:tcPr>
          <w:p w:rsidR="00F12183" w:rsidRPr="002F3CEF" w:rsidRDefault="00F12183" w:rsidP="00F12183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 xml:space="preserve">Fórmula de cálculo </w:t>
            </w:r>
          </w:p>
        </w:tc>
        <w:tc>
          <w:tcPr>
            <w:tcW w:w="6309" w:type="dxa"/>
            <w:hideMark/>
          </w:tcPr>
          <w:p w:rsidR="00F12183" w:rsidRPr="006E0067" w:rsidRDefault="00F12183" w:rsidP="00133CBE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highlight w:val="yellow"/>
                <w:lang w:val="es-CR" w:eastAsia="en-US"/>
              </w:rPr>
            </w:pPr>
            <w:r w:rsidRPr="001D51EB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 xml:space="preserve">Cantidad de días reducidos </w:t>
            </w:r>
          </w:p>
        </w:tc>
      </w:tr>
      <w:tr w:rsidR="00F12183" w:rsidRPr="002F3CEF" w:rsidTr="0090152D">
        <w:trPr>
          <w:trHeight w:val="340"/>
        </w:trPr>
        <w:tc>
          <w:tcPr>
            <w:tcW w:w="2758" w:type="dxa"/>
            <w:gridSpan w:val="2"/>
          </w:tcPr>
          <w:p w:rsidR="00F12183" w:rsidRPr="004E7649" w:rsidRDefault="00310F07" w:rsidP="00CC6B0A">
            <w:pPr>
              <w:pStyle w:val="Sinespaciado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Componentes involucrados en la fórmula</w:t>
            </w:r>
            <w:r w:rsidR="00F12183" w:rsidRPr="004E7649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 xml:space="preserve"> de</w:t>
            </w:r>
            <w:r w:rsidR="00CC6B0A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l</w:t>
            </w:r>
            <w:r w:rsidR="00F12183" w:rsidRPr="004E7649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 xml:space="preserve"> cálculo</w:t>
            </w:r>
          </w:p>
        </w:tc>
        <w:tc>
          <w:tcPr>
            <w:tcW w:w="6309" w:type="dxa"/>
          </w:tcPr>
          <w:p w:rsidR="00F12183" w:rsidRPr="004E7649" w:rsidRDefault="004E7649" w:rsidP="004E764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  <w:r w:rsidRPr="004E7649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Días requeridos para la resolución de trámites</w:t>
            </w:r>
          </w:p>
        </w:tc>
      </w:tr>
      <w:tr w:rsidR="00F12183" w:rsidRPr="002F3CEF" w:rsidTr="0090152D">
        <w:trPr>
          <w:trHeight w:val="340"/>
        </w:trPr>
        <w:tc>
          <w:tcPr>
            <w:tcW w:w="2758" w:type="dxa"/>
            <w:gridSpan w:val="2"/>
            <w:hideMark/>
          </w:tcPr>
          <w:p w:rsidR="00F12183" w:rsidRPr="002F3CEF" w:rsidRDefault="00F12183" w:rsidP="00F12183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Unidad de medida</w:t>
            </w:r>
          </w:p>
        </w:tc>
        <w:tc>
          <w:tcPr>
            <w:tcW w:w="6309" w:type="dxa"/>
            <w:hideMark/>
          </w:tcPr>
          <w:p w:rsidR="00F12183" w:rsidRPr="006E0067" w:rsidRDefault="003E6DDB" w:rsidP="00133CBE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highlight w:val="yellow"/>
                <w:lang w:val="es-CR" w:eastAsia="en-US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Porcentaje</w:t>
            </w:r>
          </w:p>
        </w:tc>
      </w:tr>
      <w:tr w:rsidR="00F12183" w:rsidRPr="002F3CEF" w:rsidTr="0090152D">
        <w:trPr>
          <w:trHeight w:val="302"/>
        </w:trPr>
        <w:tc>
          <w:tcPr>
            <w:tcW w:w="2758" w:type="dxa"/>
            <w:gridSpan w:val="2"/>
            <w:hideMark/>
          </w:tcPr>
          <w:p w:rsidR="00F12183" w:rsidRPr="002F3CEF" w:rsidRDefault="00F12183" w:rsidP="00F12183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Interpretación</w:t>
            </w:r>
          </w:p>
        </w:tc>
        <w:tc>
          <w:tcPr>
            <w:tcW w:w="6309" w:type="dxa"/>
            <w:hideMark/>
          </w:tcPr>
          <w:p w:rsidR="00F12183" w:rsidRDefault="00F12183" w:rsidP="00133CBE">
            <w:pPr>
              <w:pStyle w:val="Sinespaciado"/>
              <w:jc w:val="both"/>
              <w:rPr>
                <w:rFonts w:ascii="Arial Narrow" w:hAnsi="Arial Narrow"/>
                <w:bCs/>
                <w:color w:val="FF0000"/>
                <w:sz w:val="18"/>
                <w:szCs w:val="18"/>
                <w:lang w:val="es-CR" w:eastAsia="en-US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El indicador corresponde a la cantidad de días reducidos durante un periodo de tiempo, la interpretación entonces de este indicador es días menos requeridos para la resolución de un trámite en la Dirección de Agua</w:t>
            </w:r>
            <w:r w:rsidR="00133CBE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.</w:t>
            </w:r>
            <w:r w:rsidRPr="002F3CEF">
              <w:rPr>
                <w:rFonts w:ascii="Arial Narrow" w:hAnsi="Arial Narrow"/>
                <w:bCs/>
                <w:color w:val="FF0000"/>
                <w:sz w:val="18"/>
                <w:szCs w:val="18"/>
                <w:lang w:val="es-CR" w:eastAsia="en-US"/>
              </w:rPr>
              <w:t xml:space="preserve">   </w:t>
            </w:r>
          </w:p>
          <w:p w:rsidR="00AA1261" w:rsidRPr="002F3CEF" w:rsidRDefault="00AA1261" w:rsidP="00133CBE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</w:p>
        </w:tc>
      </w:tr>
      <w:tr w:rsidR="00F12183" w:rsidRPr="002F3CEF" w:rsidTr="0090152D">
        <w:trPr>
          <w:trHeight w:val="240"/>
        </w:trPr>
        <w:tc>
          <w:tcPr>
            <w:tcW w:w="1417" w:type="dxa"/>
            <w:vMerge w:val="restart"/>
            <w:vAlign w:val="center"/>
            <w:hideMark/>
          </w:tcPr>
          <w:p w:rsidR="00F12183" w:rsidRPr="002F3CEF" w:rsidRDefault="00F12183" w:rsidP="00F12183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Desagregación</w:t>
            </w:r>
          </w:p>
        </w:tc>
        <w:tc>
          <w:tcPr>
            <w:tcW w:w="1341" w:type="dxa"/>
          </w:tcPr>
          <w:p w:rsidR="00F12183" w:rsidRPr="002F3CEF" w:rsidRDefault="00F12183" w:rsidP="00F12183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val="es-CR" w:eastAsia="en-US"/>
              </w:rPr>
            </w:pPr>
            <w:r w:rsidRPr="002F3CEF">
              <w:rPr>
                <w:rFonts w:ascii="Arial Narrow" w:hAnsi="Arial Narrow"/>
                <w:b/>
                <w:bCs/>
                <w:sz w:val="18"/>
                <w:szCs w:val="18"/>
                <w:lang w:val="es-CR" w:eastAsia="en-US"/>
              </w:rPr>
              <w:t>Geográfica</w:t>
            </w:r>
          </w:p>
        </w:tc>
        <w:tc>
          <w:tcPr>
            <w:tcW w:w="6309" w:type="dxa"/>
            <w:hideMark/>
          </w:tcPr>
          <w:p w:rsidR="00F12183" w:rsidRDefault="00F12183" w:rsidP="00133CBE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El indicador no presenta desagregación ya q</w:t>
            </w:r>
            <w:r w:rsidR="00133CBE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ue se establece a nivel nacional</w:t>
            </w:r>
          </w:p>
          <w:p w:rsidR="00133CBE" w:rsidRPr="002F3CEF" w:rsidRDefault="00133CBE" w:rsidP="00133CBE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</w:p>
        </w:tc>
      </w:tr>
      <w:tr w:rsidR="00F12183" w:rsidRPr="002F3CEF" w:rsidTr="0090152D">
        <w:trPr>
          <w:trHeight w:val="240"/>
        </w:trPr>
        <w:tc>
          <w:tcPr>
            <w:tcW w:w="1417" w:type="dxa"/>
            <w:vMerge/>
          </w:tcPr>
          <w:p w:rsidR="00F12183" w:rsidRPr="002F3CEF" w:rsidRDefault="00F12183" w:rsidP="00F12183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R" w:eastAsia="en-US"/>
              </w:rPr>
            </w:pPr>
          </w:p>
        </w:tc>
        <w:tc>
          <w:tcPr>
            <w:tcW w:w="1341" w:type="dxa"/>
          </w:tcPr>
          <w:p w:rsidR="00F12183" w:rsidRPr="002F3CEF" w:rsidRDefault="00F12183" w:rsidP="00F12183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Temática</w:t>
            </w:r>
          </w:p>
        </w:tc>
        <w:tc>
          <w:tcPr>
            <w:tcW w:w="6309" w:type="dxa"/>
          </w:tcPr>
          <w:p w:rsidR="00F12183" w:rsidRDefault="00F12183" w:rsidP="00133CBE">
            <w:pPr>
              <w:pStyle w:val="Sinespaciado"/>
              <w:jc w:val="both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El indicador no hace énfasis en características especificas</w:t>
            </w:r>
          </w:p>
          <w:p w:rsidR="00133CBE" w:rsidRPr="00133CBE" w:rsidRDefault="00133CBE" w:rsidP="00133CBE">
            <w:pPr>
              <w:pStyle w:val="Sinespaciado"/>
              <w:jc w:val="both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F12183" w:rsidRPr="002F3CEF" w:rsidTr="0090152D">
        <w:trPr>
          <w:trHeight w:val="475"/>
        </w:trPr>
        <w:tc>
          <w:tcPr>
            <w:tcW w:w="2758" w:type="dxa"/>
            <w:gridSpan w:val="2"/>
            <w:hideMark/>
          </w:tcPr>
          <w:p w:rsidR="00F12183" w:rsidRPr="002F3CEF" w:rsidRDefault="00F12183" w:rsidP="00F12183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Línea base</w:t>
            </w:r>
          </w:p>
        </w:tc>
        <w:tc>
          <w:tcPr>
            <w:tcW w:w="6309" w:type="dxa"/>
            <w:hideMark/>
          </w:tcPr>
          <w:p w:rsidR="00F12183" w:rsidRPr="00133CBE" w:rsidRDefault="00E96361" w:rsidP="00133CBE">
            <w:pPr>
              <w:pStyle w:val="Sinespaciado"/>
              <w:jc w:val="both"/>
              <w:rPr>
                <w:rFonts w:ascii="Arial Narrow" w:hAnsi="Arial Narrow"/>
                <w:sz w:val="18"/>
                <w:szCs w:val="18"/>
                <w:lang w:val="es-CR" w:eastAsia="en-US"/>
              </w:rPr>
            </w:pPr>
            <w:r>
              <w:rPr>
                <w:rFonts w:ascii="Arial Narrow" w:hAnsi="Arial Narrow"/>
                <w:sz w:val="18"/>
                <w:szCs w:val="18"/>
                <w:lang w:val="es-CR" w:eastAsia="en-US"/>
              </w:rPr>
              <w:t>213</w:t>
            </w:r>
            <w:r w:rsidR="00F12183" w:rsidRPr="00E202C1">
              <w:rPr>
                <w:rFonts w:ascii="Arial Narrow" w:hAnsi="Arial Narrow"/>
                <w:sz w:val="18"/>
                <w:szCs w:val="18"/>
                <w:lang w:val="es-CR" w:eastAsia="en-US"/>
              </w:rPr>
              <w:t xml:space="preserve"> días naturales de duración para la resolución de tramites</w:t>
            </w:r>
          </w:p>
        </w:tc>
      </w:tr>
      <w:tr w:rsidR="00F12183" w:rsidRPr="002F3CEF" w:rsidTr="0090152D">
        <w:trPr>
          <w:trHeight w:val="291"/>
        </w:trPr>
        <w:tc>
          <w:tcPr>
            <w:tcW w:w="2758" w:type="dxa"/>
            <w:gridSpan w:val="2"/>
            <w:hideMark/>
          </w:tcPr>
          <w:p w:rsidR="00F12183" w:rsidRPr="002F3CEF" w:rsidRDefault="00F12183" w:rsidP="00F12183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Meta</w:t>
            </w:r>
          </w:p>
        </w:tc>
        <w:tc>
          <w:tcPr>
            <w:tcW w:w="6309" w:type="dxa"/>
            <w:hideMark/>
          </w:tcPr>
          <w:p w:rsidR="00F12183" w:rsidRDefault="00F12183" w:rsidP="00F12183">
            <w:pPr>
              <w:pStyle w:val="Sinespaciado"/>
              <w:jc w:val="both"/>
              <w:rPr>
                <w:rFonts w:ascii="Arial Narrow" w:hAnsi="Arial Narrow"/>
                <w:sz w:val="18"/>
                <w:szCs w:val="18"/>
                <w:lang w:val="es-CR" w:eastAsia="en-US"/>
              </w:rPr>
            </w:pPr>
            <w:r w:rsidRPr="002F3CEF">
              <w:rPr>
                <w:rFonts w:ascii="Arial Narrow" w:hAnsi="Arial Narrow"/>
                <w:sz w:val="18"/>
                <w:szCs w:val="18"/>
                <w:lang w:val="es-CR" w:eastAsia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s-CR" w:eastAsia="en-US"/>
              </w:rPr>
              <w:t>Reducción en un 50% el tiempo de resolución de los trámites</w:t>
            </w:r>
          </w:p>
          <w:p w:rsidR="00F12183" w:rsidRPr="002F3CEF" w:rsidRDefault="00F12183" w:rsidP="00133CBE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</w:p>
        </w:tc>
      </w:tr>
      <w:tr w:rsidR="00F12183" w:rsidRPr="002F3CEF" w:rsidTr="0090152D">
        <w:trPr>
          <w:trHeight w:val="531"/>
        </w:trPr>
        <w:tc>
          <w:tcPr>
            <w:tcW w:w="2758" w:type="dxa"/>
            <w:gridSpan w:val="2"/>
            <w:hideMark/>
          </w:tcPr>
          <w:p w:rsidR="00F12183" w:rsidRPr="002F3CEF" w:rsidRDefault="00F12183" w:rsidP="00F12183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 xml:space="preserve">Periodicidad </w:t>
            </w:r>
          </w:p>
        </w:tc>
        <w:tc>
          <w:tcPr>
            <w:tcW w:w="6309" w:type="dxa"/>
            <w:hideMark/>
          </w:tcPr>
          <w:p w:rsidR="00F12183" w:rsidRDefault="00F12183" w:rsidP="00F12183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Los datos para el cálculo del indicador serán obteni</w:t>
            </w:r>
            <w:r w:rsidR="00133CBE"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dos y analizados de manera semestral</w:t>
            </w:r>
          </w:p>
          <w:p w:rsidR="00F12183" w:rsidRPr="002F3CEF" w:rsidRDefault="00F12183" w:rsidP="00133CBE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</w:p>
        </w:tc>
      </w:tr>
      <w:tr w:rsidR="00F12183" w:rsidRPr="002F3CEF" w:rsidTr="0090152D">
        <w:trPr>
          <w:trHeight w:val="453"/>
        </w:trPr>
        <w:tc>
          <w:tcPr>
            <w:tcW w:w="2758" w:type="dxa"/>
            <w:gridSpan w:val="2"/>
            <w:hideMark/>
          </w:tcPr>
          <w:p w:rsidR="00F12183" w:rsidRPr="002F3CEF" w:rsidRDefault="00F12183" w:rsidP="00F12183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Fuente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 xml:space="preserve"> de información</w:t>
            </w:r>
          </w:p>
        </w:tc>
        <w:tc>
          <w:tcPr>
            <w:tcW w:w="6309" w:type="dxa"/>
          </w:tcPr>
          <w:p w:rsidR="00F12183" w:rsidRDefault="00F12183" w:rsidP="00F12183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Departamento de Desarrollo Hídrico – Dirección de Agua Minae</w:t>
            </w:r>
          </w:p>
          <w:p w:rsidR="00F12183" w:rsidRPr="002F3CEF" w:rsidRDefault="00F12183" w:rsidP="00133CBE">
            <w:pPr>
              <w:rPr>
                <w:rFonts w:ascii="Arial Narrow" w:hAnsi="Arial Narrow"/>
                <w:bCs/>
                <w:strike/>
                <w:sz w:val="18"/>
                <w:szCs w:val="18"/>
                <w:lang w:val="es-CR"/>
              </w:rPr>
            </w:pPr>
          </w:p>
        </w:tc>
      </w:tr>
      <w:tr w:rsidR="00F12183" w:rsidRPr="002F3CEF" w:rsidTr="0090152D">
        <w:trPr>
          <w:trHeight w:val="290"/>
        </w:trPr>
        <w:tc>
          <w:tcPr>
            <w:tcW w:w="2758" w:type="dxa"/>
            <w:gridSpan w:val="2"/>
            <w:hideMark/>
          </w:tcPr>
          <w:p w:rsidR="00F12183" w:rsidRPr="002F3CEF" w:rsidRDefault="00F12183" w:rsidP="00F12183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Clasificación</w:t>
            </w:r>
          </w:p>
        </w:tc>
        <w:tc>
          <w:tcPr>
            <w:tcW w:w="6309" w:type="dxa"/>
            <w:hideMark/>
          </w:tcPr>
          <w:p w:rsidR="00F12183" w:rsidRPr="002F3CEF" w:rsidRDefault="00F12183" w:rsidP="00F12183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() Impacto.</w:t>
            </w:r>
          </w:p>
          <w:p w:rsidR="00F12183" w:rsidRPr="002F3CEF" w:rsidRDefault="00F12183" w:rsidP="00F12183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(</w:t>
            </w:r>
            <w:r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X</w:t>
            </w:r>
            <w:r w:rsidRPr="002F3CEF"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) Efecto.</w:t>
            </w:r>
          </w:p>
          <w:p w:rsidR="00F12183" w:rsidRDefault="00F12183" w:rsidP="00F12183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() Producto.</w:t>
            </w:r>
          </w:p>
          <w:p w:rsidR="00F12183" w:rsidRPr="002F3CEF" w:rsidRDefault="00F12183" w:rsidP="00F12183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</w:p>
        </w:tc>
      </w:tr>
      <w:tr w:rsidR="00F12183" w:rsidRPr="002F3CEF" w:rsidTr="0090152D">
        <w:trPr>
          <w:trHeight w:val="393"/>
        </w:trPr>
        <w:tc>
          <w:tcPr>
            <w:tcW w:w="2758" w:type="dxa"/>
            <w:gridSpan w:val="2"/>
            <w:hideMark/>
          </w:tcPr>
          <w:p w:rsidR="00F12183" w:rsidRPr="00B90C60" w:rsidRDefault="00F12183" w:rsidP="00F12183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B90C60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Tipo de operación estadística</w:t>
            </w:r>
          </w:p>
        </w:tc>
        <w:tc>
          <w:tcPr>
            <w:tcW w:w="6309" w:type="dxa"/>
            <w:hideMark/>
          </w:tcPr>
          <w:p w:rsidR="00F12183" w:rsidRPr="00883DFE" w:rsidRDefault="00F12183" w:rsidP="00F12183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  <w:r w:rsidRPr="00883DFE"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Registro administrativo</w:t>
            </w:r>
            <w:r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 xml:space="preserve"> de la institución</w:t>
            </w:r>
          </w:p>
          <w:p w:rsidR="00F12183" w:rsidRPr="00B90C60" w:rsidRDefault="00F12183" w:rsidP="00133CBE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</w:p>
        </w:tc>
      </w:tr>
      <w:tr w:rsidR="00F12183" w:rsidRPr="002F3CEF" w:rsidTr="0090152D">
        <w:trPr>
          <w:trHeight w:val="522"/>
        </w:trPr>
        <w:tc>
          <w:tcPr>
            <w:tcW w:w="2758" w:type="dxa"/>
            <w:gridSpan w:val="2"/>
            <w:hideMark/>
          </w:tcPr>
          <w:p w:rsidR="00F12183" w:rsidRPr="002F3CEF" w:rsidRDefault="00F12183" w:rsidP="00F12183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Comentarios generales</w:t>
            </w:r>
          </w:p>
        </w:tc>
        <w:tc>
          <w:tcPr>
            <w:tcW w:w="6309" w:type="dxa"/>
            <w:hideMark/>
          </w:tcPr>
          <w:p w:rsidR="00645005" w:rsidRPr="009D3F46" w:rsidRDefault="00645005" w:rsidP="00645005">
            <w:pPr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  <w:r w:rsidRPr="009D3F46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Como línea base del indicador se incluyó el tiempo registrado en el documento del PNDIP</w:t>
            </w:r>
          </w:p>
          <w:p w:rsidR="00F12183" w:rsidRPr="002F3CEF" w:rsidRDefault="00645005" w:rsidP="004F4BEA">
            <w:pPr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  <w:r w:rsidRPr="009D3F46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La reducción de los tiempos, está sujeta a la aprobación presupuestaria, comportamiento de la demanda y personal disponible</w:t>
            </w:r>
            <w:r w:rsidRPr="00EE415D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.</w:t>
            </w:r>
            <w:r w:rsidR="004F4BEA" w:rsidRPr="00EE415D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 xml:space="preserve"> Este trámite tiene el riesgo en los tiempos que estos son afectados por los plazo en audiencias que por Decreto atiende SENARA, que puede durar más de lo dispuesto y por ser vinculante no se puede resolver sin su criterio</w:t>
            </w:r>
            <w:r w:rsidR="004F4BEA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.</w:t>
            </w:r>
          </w:p>
        </w:tc>
      </w:tr>
    </w:tbl>
    <w:p w:rsidR="00B90C60" w:rsidRDefault="00B90C60"/>
    <w:p w:rsidR="00877EFD" w:rsidRDefault="00877EFD"/>
    <w:p w:rsidR="00ED2F48" w:rsidRDefault="00ED2F48" w:rsidP="00ED2F48">
      <w:pPr>
        <w:spacing w:line="360" w:lineRule="auto"/>
        <w:rPr>
          <w:rFonts w:ascii="Calibri" w:eastAsia="Calibri" w:hAnsi="Calibri" w:cs="Calibri"/>
          <w:sz w:val="22"/>
          <w:szCs w:val="22"/>
          <w:lang w:val="es-CR" w:eastAsia="en-US"/>
        </w:rPr>
      </w:pPr>
    </w:p>
    <w:p w:rsidR="00ED2F48" w:rsidRDefault="00ED2F48" w:rsidP="00ED2F48">
      <w:pPr>
        <w:spacing w:line="360" w:lineRule="auto"/>
        <w:rPr>
          <w:rFonts w:ascii="Calibri" w:eastAsia="Calibri" w:hAnsi="Calibri" w:cs="Calibri"/>
          <w:sz w:val="22"/>
          <w:szCs w:val="22"/>
          <w:lang w:val="es-CR" w:eastAsia="en-US"/>
        </w:rPr>
      </w:pPr>
    </w:p>
    <w:p w:rsidR="00ED2F48" w:rsidRDefault="00ED2F48" w:rsidP="00ED2F48">
      <w:pPr>
        <w:spacing w:line="360" w:lineRule="auto"/>
        <w:rPr>
          <w:rFonts w:ascii="Calibri" w:eastAsia="Calibri" w:hAnsi="Calibri" w:cs="Calibri"/>
          <w:sz w:val="22"/>
          <w:szCs w:val="22"/>
          <w:lang w:val="es-CR" w:eastAsia="en-US"/>
        </w:rPr>
      </w:pPr>
    </w:p>
    <w:p w:rsidR="00ED2F48" w:rsidRDefault="00ED2F48" w:rsidP="00ED2F48">
      <w:pPr>
        <w:spacing w:line="360" w:lineRule="auto"/>
        <w:rPr>
          <w:rFonts w:ascii="Calibri" w:eastAsia="Calibri" w:hAnsi="Calibri" w:cs="Calibri"/>
          <w:sz w:val="22"/>
          <w:szCs w:val="22"/>
          <w:lang w:val="es-CR" w:eastAsia="en-US"/>
        </w:rPr>
      </w:pPr>
      <w:r>
        <w:rPr>
          <w:rFonts w:ascii="Calibri" w:eastAsia="Calibri" w:hAnsi="Calibri" w:cs="Calibri"/>
          <w:sz w:val="22"/>
          <w:szCs w:val="22"/>
          <w:lang w:val="es-CR" w:eastAsia="en-US"/>
        </w:rPr>
        <w:t xml:space="preserve">Ficha </w:t>
      </w:r>
      <w:r w:rsidRPr="00C27CBF">
        <w:rPr>
          <w:rFonts w:ascii="Calibri" w:eastAsia="Calibri" w:hAnsi="Calibri" w:cs="Calibri"/>
          <w:sz w:val="22"/>
          <w:szCs w:val="22"/>
          <w:lang w:val="es-CR" w:eastAsia="en-US"/>
        </w:rPr>
        <w:t>técnica</w:t>
      </w:r>
      <w:r>
        <w:rPr>
          <w:rFonts w:ascii="Calibri" w:eastAsia="Calibri" w:hAnsi="Calibri" w:cs="Calibri"/>
          <w:sz w:val="22"/>
          <w:szCs w:val="22"/>
          <w:lang w:val="es-CR" w:eastAsia="en-US"/>
        </w:rPr>
        <w:t xml:space="preserve"> del indicador</w:t>
      </w:r>
    </w:p>
    <w:p w:rsidR="00ED2F48" w:rsidRPr="00C27CBF" w:rsidRDefault="00ED2F48" w:rsidP="00ED2F48">
      <w:pPr>
        <w:spacing w:line="360" w:lineRule="auto"/>
        <w:rPr>
          <w:rFonts w:ascii="Calibri" w:eastAsia="Calibri" w:hAnsi="Calibri" w:cs="Calibri"/>
          <w:sz w:val="22"/>
          <w:szCs w:val="22"/>
          <w:lang w:val="es-CR" w:eastAsia="en-US"/>
        </w:rPr>
      </w:pPr>
      <w:r>
        <w:rPr>
          <w:rFonts w:ascii="Calibri" w:eastAsia="Calibri" w:hAnsi="Calibri" w:cs="Calibri"/>
          <w:sz w:val="22"/>
          <w:szCs w:val="22"/>
          <w:lang w:val="es-CR" w:eastAsia="en-US"/>
        </w:rPr>
        <w:t xml:space="preserve">Nombre del indicador: </w:t>
      </w:r>
      <w:r w:rsidR="00742806" w:rsidRPr="00742806">
        <w:rPr>
          <w:rFonts w:ascii="Calibri" w:eastAsia="Calibri" w:hAnsi="Calibri" w:cs="Calibri"/>
          <w:sz w:val="22"/>
          <w:szCs w:val="22"/>
          <w:lang w:val="es-CR" w:eastAsia="en-US"/>
        </w:rPr>
        <w:t>Reducir del tiempo en días de atención del permiso de vertidos.</w:t>
      </w:r>
    </w:p>
    <w:tbl>
      <w:tblPr>
        <w:tblStyle w:val="GFATableGrid1"/>
        <w:tblW w:w="9067" w:type="dxa"/>
        <w:tblLook w:val="01E0" w:firstRow="1" w:lastRow="1" w:firstColumn="1" w:lastColumn="1" w:noHBand="0" w:noVBand="0"/>
      </w:tblPr>
      <w:tblGrid>
        <w:gridCol w:w="1417"/>
        <w:gridCol w:w="1341"/>
        <w:gridCol w:w="6309"/>
      </w:tblGrid>
      <w:tr w:rsidR="00ED2F48" w:rsidRPr="002F3CEF" w:rsidTr="00475B39">
        <w:trPr>
          <w:trHeight w:val="325"/>
          <w:tblHeader/>
        </w:trPr>
        <w:tc>
          <w:tcPr>
            <w:tcW w:w="2758" w:type="dxa"/>
            <w:gridSpan w:val="2"/>
            <w:shd w:val="clear" w:color="auto" w:fill="E7E6E6" w:themeFill="background2"/>
            <w:hideMark/>
          </w:tcPr>
          <w:p w:rsidR="00ED2F48" w:rsidRPr="002F3CEF" w:rsidRDefault="00ED2F48" w:rsidP="00475B39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Elemento</w:t>
            </w:r>
          </w:p>
        </w:tc>
        <w:tc>
          <w:tcPr>
            <w:tcW w:w="6309" w:type="dxa"/>
            <w:shd w:val="clear" w:color="auto" w:fill="E7E6E6" w:themeFill="background2"/>
            <w:hideMark/>
          </w:tcPr>
          <w:p w:rsidR="00ED2F48" w:rsidRPr="002F3CEF" w:rsidRDefault="00ED2F48" w:rsidP="00475B39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Descripción</w:t>
            </w:r>
          </w:p>
        </w:tc>
      </w:tr>
      <w:tr w:rsidR="00ED2F48" w:rsidRPr="002F3CEF" w:rsidTr="00475B39">
        <w:trPr>
          <w:trHeight w:val="434"/>
        </w:trPr>
        <w:tc>
          <w:tcPr>
            <w:tcW w:w="2758" w:type="dxa"/>
            <w:gridSpan w:val="2"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Nombre del indicador</w:t>
            </w:r>
          </w:p>
        </w:tc>
        <w:tc>
          <w:tcPr>
            <w:tcW w:w="6309" w:type="dxa"/>
          </w:tcPr>
          <w:p w:rsidR="00ED2F48" w:rsidRPr="002F3CEF" w:rsidRDefault="00742806" w:rsidP="00475B39">
            <w:pPr>
              <w:pStyle w:val="Sinespaciado"/>
              <w:jc w:val="both"/>
              <w:rPr>
                <w:rFonts w:ascii="Arial Narrow" w:hAnsi="Arial Narrow"/>
                <w:sz w:val="18"/>
                <w:szCs w:val="18"/>
                <w:lang w:val="es-CR" w:eastAsia="en-US"/>
              </w:rPr>
            </w:pPr>
            <w:r w:rsidRPr="00742806">
              <w:rPr>
                <w:rFonts w:ascii="Arial Narrow" w:hAnsi="Arial Narrow"/>
                <w:sz w:val="18"/>
                <w:szCs w:val="18"/>
                <w:lang w:val="es-CR" w:eastAsia="en-US"/>
              </w:rPr>
              <w:t>Reducir del tiempo  en días de atención del permiso de vertidos.</w:t>
            </w:r>
          </w:p>
        </w:tc>
      </w:tr>
      <w:tr w:rsidR="00ED2F48" w:rsidRPr="002F3CEF" w:rsidTr="00475B39">
        <w:trPr>
          <w:trHeight w:val="437"/>
        </w:trPr>
        <w:tc>
          <w:tcPr>
            <w:tcW w:w="2758" w:type="dxa"/>
            <w:gridSpan w:val="2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sz w:val="18"/>
                <w:szCs w:val="18"/>
                <w:lang w:val="es-CR"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val="es-CR" w:eastAsia="en-US"/>
              </w:rPr>
              <w:t>Definición conceptual</w:t>
            </w:r>
          </w:p>
        </w:tc>
        <w:tc>
          <w:tcPr>
            <w:tcW w:w="6309" w:type="dxa"/>
            <w:hideMark/>
          </w:tcPr>
          <w:p w:rsidR="00ED2F48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  <w:r w:rsidRPr="00F12183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La Dirección de Agua en su proceso de mejora continua y regulación de los trámites, está enfocada atender las solicitudes de los usuarios en un menor tiempo. Lo anterior, mediante una optimización de sus procesos, eliminando o ajustando pasos y requisitos que no generan valor. Esta optimización, está alineada a lo establecido en el Plan de Mejora Regulatoria (PMR) 2019 y al proyecto de Ventanilla Única de Inversión (VUI). Se tiene programado la optimización de los siguientes trámites: Permisos de perforación de poz</w:t>
            </w:r>
            <w:r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os</w:t>
            </w:r>
            <w:r w:rsidRPr="00F12183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 xml:space="preserve">, concesión de agua superficial y el permiso de vertidos de agua residuales. </w:t>
            </w:r>
          </w:p>
          <w:p w:rsidR="00ED2F48" w:rsidRPr="00133CBE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</w:p>
        </w:tc>
      </w:tr>
      <w:tr w:rsidR="00ED2F48" w:rsidRPr="002F3CEF" w:rsidTr="00475B39">
        <w:trPr>
          <w:trHeight w:val="531"/>
        </w:trPr>
        <w:tc>
          <w:tcPr>
            <w:tcW w:w="2758" w:type="dxa"/>
            <w:gridSpan w:val="2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 xml:space="preserve">Fórmula de cálculo </w:t>
            </w:r>
          </w:p>
        </w:tc>
        <w:tc>
          <w:tcPr>
            <w:tcW w:w="6309" w:type="dxa"/>
            <w:hideMark/>
          </w:tcPr>
          <w:p w:rsidR="00ED2F48" w:rsidRPr="006E0067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highlight w:val="yellow"/>
                <w:lang w:val="es-CR" w:eastAsia="en-US"/>
              </w:rPr>
            </w:pPr>
            <w:r w:rsidRPr="001D51EB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 xml:space="preserve">Cantidad de días reducidos </w:t>
            </w:r>
          </w:p>
        </w:tc>
      </w:tr>
      <w:tr w:rsidR="00ED2F48" w:rsidRPr="002F3CEF" w:rsidTr="00475B39">
        <w:trPr>
          <w:trHeight w:val="340"/>
        </w:trPr>
        <w:tc>
          <w:tcPr>
            <w:tcW w:w="2758" w:type="dxa"/>
            <w:gridSpan w:val="2"/>
          </w:tcPr>
          <w:p w:rsidR="00ED2F48" w:rsidRPr="004E7649" w:rsidRDefault="00CC6B0A" w:rsidP="00CC6B0A">
            <w:pPr>
              <w:pStyle w:val="Sinespaciado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Componentes involucrados en la fórmula</w:t>
            </w:r>
            <w:r w:rsidR="00ED2F48" w:rsidRPr="004E7649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 xml:space="preserve"> de</w:t>
            </w:r>
            <w:r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l</w:t>
            </w:r>
            <w:r w:rsidR="00ED2F48" w:rsidRPr="004E7649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 xml:space="preserve"> cálculo</w:t>
            </w:r>
          </w:p>
        </w:tc>
        <w:tc>
          <w:tcPr>
            <w:tcW w:w="6309" w:type="dxa"/>
          </w:tcPr>
          <w:p w:rsidR="00ED2F48" w:rsidRPr="004E7649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  <w:r w:rsidRPr="004E7649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Días requeridos para la resolución de trámites</w:t>
            </w:r>
          </w:p>
        </w:tc>
      </w:tr>
      <w:tr w:rsidR="00ED2F48" w:rsidRPr="002F3CEF" w:rsidTr="00475B39">
        <w:trPr>
          <w:trHeight w:val="340"/>
        </w:trPr>
        <w:tc>
          <w:tcPr>
            <w:tcW w:w="2758" w:type="dxa"/>
            <w:gridSpan w:val="2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Unidad de medida</w:t>
            </w:r>
          </w:p>
        </w:tc>
        <w:tc>
          <w:tcPr>
            <w:tcW w:w="6309" w:type="dxa"/>
            <w:hideMark/>
          </w:tcPr>
          <w:p w:rsidR="00ED2F48" w:rsidRPr="006E0067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highlight w:val="yellow"/>
                <w:lang w:val="es-CR" w:eastAsia="en-US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Porcentaje</w:t>
            </w:r>
          </w:p>
        </w:tc>
      </w:tr>
      <w:tr w:rsidR="00ED2F48" w:rsidRPr="002F3CEF" w:rsidTr="00475B39">
        <w:trPr>
          <w:trHeight w:val="302"/>
        </w:trPr>
        <w:tc>
          <w:tcPr>
            <w:tcW w:w="2758" w:type="dxa"/>
            <w:gridSpan w:val="2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Interpretación</w:t>
            </w:r>
          </w:p>
        </w:tc>
        <w:tc>
          <w:tcPr>
            <w:tcW w:w="6309" w:type="dxa"/>
            <w:hideMark/>
          </w:tcPr>
          <w:p w:rsidR="00ED2F48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color w:val="FF0000"/>
                <w:sz w:val="18"/>
                <w:szCs w:val="18"/>
                <w:lang w:val="es-CR" w:eastAsia="en-US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El indicador corresponde a la cantidad de días reducidos durante un periodo de tiempo, la interpretación entonces de este indicador es días menos requeridos para la resolución de un trámite en la Dirección de Agua.</w:t>
            </w:r>
            <w:r w:rsidRPr="002F3CEF">
              <w:rPr>
                <w:rFonts w:ascii="Arial Narrow" w:hAnsi="Arial Narrow"/>
                <w:bCs/>
                <w:color w:val="FF0000"/>
                <w:sz w:val="18"/>
                <w:szCs w:val="18"/>
                <w:lang w:val="es-CR" w:eastAsia="en-US"/>
              </w:rPr>
              <w:t xml:space="preserve">   </w:t>
            </w:r>
          </w:p>
          <w:p w:rsidR="00ED2F48" w:rsidRPr="002F3CEF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</w:p>
        </w:tc>
      </w:tr>
      <w:tr w:rsidR="00ED2F48" w:rsidRPr="002F3CEF" w:rsidTr="00475B39">
        <w:trPr>
          <w:trHeight w:val="240"/>
        </w:trPr>
        <w:tc>
          <w:tcPr>
            <w:tcW w:w="1417" w:type="dxa"/>
            <w:vMerge w:val="restart"/>
            <w:vAlign w:val="center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Desagregación</w:t>
            </w:r>
          </w:p>
        </w:tc>
        <w:tc>
          <w:tcPr>
            <w:tcW w:w="1341" w:type="dxa"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val="es-CR" w:eastAsia="en-US"/>
              </w:rPr>
            </w:pPr>
            <w:r w:rsidRPr="002F3CEF">
              <w:rPr>
                <w:rFonts w:ascii="Arial Narrow" w:hAnsi="Arial Narrow"/>
                <w:b/>
                <w:bCs/>
                <w:sz w:val="18"/>
                <w:szCs w:val="18"/>
                <w:lang w:val="es-CR" w:eastAsia="en-US"/>
              </w:rPr>
              <w:t>Geográfica</w:t>
            </w:r>
          </w:p>
        </w:tc>
        <w:tc>
          <w:tcPr>
            <w:tcW w:w="6309" w:type="dxa"/>
            <w:hideMark/>
          </w:tcPr>
          <w:p w:rsidR="00ED2F48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El indicador no presenta desagregación ya que se establece a nivel nacional</w:t>
            </w:r>
          </w:p>
          <w:p w:rsidR="00ED2F48" w:rsidRPr="002F3CEF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</w:p>
        </w:tc>
      </w:tr>
      <w:tr w:rsidR="00ED2F48" w:rsidRPr="002F3CEF" w:rsidTr="00475B39">
        <w:trPr>
          <w:trHeight w:val="240"/>
        </w:trPr>
        <w:tc>
          <w:tcPr>
            <w:tcW w:w="1417" w:type="dxa"/>
            <w:vMerge/>
          </w:tcPr>
          <w:p w:rsidR="00ED2F48" w:rsidRPr="002F3CEF" w:rsidRDefault="00ED2F48" w:rsidP="00475B39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R" w:eastAsia="en-US"/>
              </w:rPr>
            </w:pPr>
          </w:p>
        </w:tc>
        <w:tc>
          <w:tcPr>
            <w:tcW w:w="1341" w:type="dxa"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Temática</w:t>
            </w:r>
          </w:p>
        </w:tc>
        <w:tc>
          <w:tcPr>
            <w:tcW w:w="6309" w:type="dxa"/>
          </w:tcPr>
          <w:p w:rsidR="00ED2F48" w:rsidRDefault="00ED2F48" w:rsidP="00475B39">
            <w:pPr>
              <w:pStyle w:val="Sinespaciado"/>
              <w:jc w:val="both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El indicador no hace énfasis en características especificas</w:t>
            </w:r>
          </w:p>
          <w:p w:rsidR="00ED2F48" w:rsidRPr="00133CBE" w:rsidRDefault="00ED2F48" w:rsidP="00475B39">
            <w:pPr>
              <w:pStyle w:val="Sinespaciado"/>
              <w:jc w:val="both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ED2F48" w:rsidRPr="002F3CEF" w:rsidTr="00475B39">
        <w:trPr>
          <w:trHeight w:val="475"/>
        </w:trPr>
        <w:tc>
          <w:tcPr>
            <w:tcW w:w="2758" w:type="dxa"/>
            <w:gridSpan w:val="2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Línea base</w:t>
            </w:r>
          </w:p>
        </w:tc>
        <w:tc>
          <w:tcPr>
            <w:tcW w:w="6309" w:type="dxa"/>
            <w:hideMark/>
          </w:tcPr>
          <w:p w:rsidR="00ED2F48" w:rsidRPr="00133CBE" w:rsidRDefault="00ED2F48" w:rsidP="00475B39">
            <w:pPr>
              <w:pStyle w:val="Sinespaciado"/>
              <w:jc w:val="both"/>
              <w:rPr>
                <w:rFonts w:ascii="Arial Narrow" w:hAnsi="Arial Narrow"/>
                <w:sz w:val="18"/>
                <w:szCs w:val="18"/>
                <w:lang w:val="es-CR" w:eastAsia="en-US"/>
              </w:rPr>
            </w:pPr>
            <w:r>
              <w:rPr>
                <w:rFonts w:ascii="Arial Narrow" w:hAnsi="Arial Narrow"/>
                <w:sz w:val="18"/>
                <w:szCs w:val="18"/>
                <w:lang w:val="es-CR" w:eastAsia="en-US"/>
              </w:rPr>
              <w:t>149</w:t>
            </w:r>
            <w:r w:rsidRPr="00E202C1">
              <w:rPr>
                <w:rFonts w:ascii="Arial Narrow" w:hAnsi="Arial Narrow"/>
                <w:sz w:val="18"/>
                <w:szCs w:val="18"/>
                <w:lang w:val="es-CR" w:eastAsia="en-US"/>
              </w:rPr>
              <w:t xml:space="preserve"> días naturales de duración para la resolución de tramites</w:t>
            </w:r>
          </w:p>
        </w:tc>
      </w:tr>
      <w:tr w:rsidR="00ED2F48" w:rsidRPr="002F3CEF" w:rsidTr="00475B39">
        <w:trPr>
          <w:trHeight w:val="291"/>
        </w:trPr>
        <w:tc>
          <w:tcPr>
            <w:tcW w:w="2758" w:type="dxa"/>
            <w:gridSpan w:val="2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Meta</w:t>
            </w:r>
          </w:p>
        </w:tc>
        <w:tc>
          <w:tcPr>
            <w:tcW w:w="6309" w:type="dxa"/>
            <w:hideMark/>
          </w:tcPr>
          <w:p w:rsidR="00ED2F48" w:rsidRDefault="00ED2F48" w:rsidP="00475B39">
            <w:pPr>
              <w:pStyle w:val="Sinespaciado"/>
              <w:jc w:val="both"/>
              <w:rPr>
                <w:rFonts w:ascii="Arial Narrow" w:hAnsi="Arial Narrow"/>
                <w:sz w:val="18"/>
                <w:szCs w:val="18"/>
                <w:lang w:val="es-CR" w:eastAsia="en-US"/>
              </w:rPr>
            </w:pPr>
            <w:r w:rsidRPr="002F3CEF">
              <w:rPr>
                <w:rFonts w:ascii="Arial Narrow" w:hAnsi="Arial Narrow"/>
                <w:sz w:val="18"/>
                <w:szCs w:val="18"/>
                <w:lang w:val="es-CR" w:eastAsia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s-CR" w:eastAsia="en-US"/>
              </w:rPr>
              <w:t>Reducción en un 50% el tiempo de resolución de los trámites</w:t>
            </w:r>
          </w:p>
          <w:p w:rsidR="00ED2F48" w:rsidRPr="002F3CEF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</w:p>
        </w:tc>
      </w:tr>
      <w:tr w:rsidR="00ED2F48" w:rsidRPr="002F3CEF" w:rsidTr="00475B39">
        <w:trPr>
          <w:trHeight w:val="531"/>
        </w:trPr>
        <w:tc>
          <w:tcPr>
            <w:tcW w:w="2758" w:type="dxa"/>
            <w:gridSpan w:val="2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 xml:space="preserve">Periodicidad </w:t>
            </w:r>
          </w:p>
        </w:tc>
        <w:tc>
          <w:tcPr>
            <w:tcW w:w="6309" w:type="dxa"/>
            <w:hideMark/>
          </w:tcPr>
          <w:p w:rsidR="00ED2F48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Los datos para el cálculo del indicador serán obtenidos y analizados de manera semestral</w:t>
            </w:r>
          </w:p>
          <w:p w:rsidR="00ED2F48" w:rsidRPr="002F3CEF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</w:p>
        </w:tc>
      </w:tr>
      <w:tr w:rsidR="00ED2F48" w:rsidRPr="002F3CEF" w:rsidTr="00475B39">
        <w:trPr>
          <w:trHeight w:val="453"/>
        </w:trPr>
        <w:tc>
          <w:tcPr>
            <w:tcW w:w="2758" w:type="dxa"/>
            <w:gridSpan w:val="2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Fuente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 xml:space="preserve"> de información</w:t>
            </w:r>
          </w:p>
        </w:tc>
        <w:tc>
          <w:tcPr>
            <w:tcW w:w="6309" w:type="dxa"/>
          </w:tcPr>
          <w:p w:rsidR="00ED2F48" w:rsidRDefault="00ED2F48" w:rsidP="00475B39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Departamento de Desarrollo Hídrico – Dirección de Agua Minae</w:t>
            </w:r>
          </w:p>
          <w:p w:rsidR="00ED2F48" w:rsidRPr="002F3CEF" w:rsidRDefault="00ED2F48" w:rsidP="00475B39">
            <w:pPr>
              <w:rPr>
                <w:rFonts w:ascii="Arial Narrow" w:hAnsi="Arial Narrow"/>
                <w:bCs/>
                <w:strike/>
                <w:sz w:val="18"/>
                <w:szCs w:val="18"/>
                <w:lang w:val="es-CR"/>
              </w:rPr>
            </w:pPr>
          </w:p>
        </w:tc>
      </w:tr>
      <w:tr w:rsidR="00ED2F48" w:rsidRPr="002F3CEF" w:rsidTr="00475B39">
        <w:trPr>
          <w:trHeight w:val="290"/>
        </w:trPr>
        <w:tc>
          <w:tcPr>
            <w:tcW w:w="2758" w:type="dxa"/>
            <w:gridSpan w:val="2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Clasificación</w:t>
            </w:r>
          </w:p>
        </w:tc>
        <w:tc>
          <w:tcPr>
            <w:tcW w:w="6309" w:type="dxa"/>
            <w:hideMark/>
          </w:tcPr>
          <w:p w:rsidR="00ED2F48" w:rsidRPr="002F3CEF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() Impacto.</w:t>
            </w:r>
          </w:p>
          <w:p w:rsidR="00ED2F48" w:rsidRPr="002F3CEF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(</w:t>
            </w:r>
            <w:r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X</w:t>
            </w:r>
            <w:r w:rsidRPr="002F3CEF"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) Efecto.</w:t>
            </w:r>
          </w:p>
          <w:p w:rsidR="00ED2F48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() Producto.</w:t>
            </w:r>
          </w:p>
          <w:p w:rsidR="00ED2F48" w:rsidRPr="002F3CEF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</w:p>
        </w:tc>
      </w:tr>
      <w:tr w:rsidR="00ED2F48" w:rsidRPr="002F3CEF" w:rsidTr="00475B39">
        <w:trPr>
          <w:trHeight w:val="393"/>
        </w:trPr>
        <w:tc>
          <w:tcPr>
            <w:tcW w:w="2758" w:type="dxa"/>
            <w:gridSpan w:val="2"/>
            <w:hideMark/>
          </w:tcPr>
          <w:p w:rsidR="00ED2F48" w:rsidRPr="00B90C60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B90C60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Tipo de operación estadística</w:t>
            </w:r>
          </w:p>
        </w:tc>
        <w:tc>
          <w:tcPr>
            <w:tcW w:w="6309" w:type="dxa"/>
            <w:hideMark/>
          </w:tcPr>
          <w:p w:rsidR="00ED2F48" w:rsidRPr="00883DFE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  <w:r w:rsidRPr="00883DFE"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Registro administrativo</w:t>
            </w:r>
            <w:r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 xml:space="preserve"> de la institución</w:t>
            </w:r>
          </w:p>
          <w:p w:rsidR="00ED2F48" w:rsidRPr="00B90C60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</w:p>
        </w:tc>
      </w:tr>
      <w:tr w:rsidR="00ED2F48" w:rsidRPr="002F3CEF" w:rsidTr="00475B39">
        <w:trPr>
          <w:trHeight w:val="522"/>
        </w:trPr>
        <w:tc>
          <w:tcPr>
            <w:tcW w:w="2758" w:type="dxa"/>
            <w:gridSpan w:val="2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Comentarios generales</w:t>
            </w:r>
          </w:p>
        </w:tc>
        <w:tc>
          <w:tcPr>
            <w:tcW w:w="6309" w:type="dxa"/>
            <w:hideMark/>
          </w:tcPr>
          <w:p w:rsidR="00ED2F48" w:rsidRDefault="00ED2F48" w:rsidP="00475B39">
            <w:pPr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Como línea base del indicador se incluyó el tiempo registrado en el documento del PNDIP</w:t>
            </w:r>
          </w:p>
          <w:p w:rsidR="00ED2F48" w:rsidRPr="002F3CEF" w:rsidRDefault="00ED2F48" w:rsidP="00475B39">
            <w:pPr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La reducción de los tiempos, está sujeta a la aprobación presupuestaria, comportamiento de la demanda y personal disponible.</w:t>
            </w:r>
          </w:p>
        </w:tc>
      </w:tr>
    </w:tbl>
    <w:p w:rsidR="00ED2F48" w:rsidRDefault="00ED2F48" w:rsidP="00ED2F48"/>
    <w:p w:rsidR="00ED2F48" w:rsidRDefault="00ED2F48" w:rsidP="00ED2F48"/>
    <w:p w:rsidR="00ED2F48" w:rsidRDefault="00ED2F48" w:rsidP="00ED2F48"/>
    <w:p w:rsidR="00ED2F48" w:rsidRDefault="00ED2F48" w:rsidP="00ED2F48"/>
    <w:p w:rsidR="00ED2F48" w:rsidRDefault="00ED2F48" w:rsidP="00ED2F48"/>
    <w:p w:rsidR="00ED2F48" w:rsidRDefault="00ED2F48" w:rsidP="00ED2F48"/>
    <w:p w:rsidR="00ED2F48" w:rsidRDefault="00ED2F48" w:rsidP="00ED2F48"/>
    <w:p w:rsidR="00ED2F48" w:rsidRDefault="00ED2F48" w:rsidP="00ED2F48"/>
    <w:p w:rsidR="00ED2F48" w:rsidRDefault="00ED2F48" w:rsidP="00ED2F48"/>
    <w:p w:rsidR="00ED2F48" w:rsidRDefault="00ED2F48" w:rsidP="00ED2F48"/>
    <w:p w:rsidR="00ED2F48" w:rsidRDefault="00ED2F48" w:rsidP="00ED2F48">
      <w:pPr>
        <w:spacing w:line="360" w:lineRule="auto"/>
        <w:rPr>
          <w:rFonts w:ascii="Calibri" w:eastAsia="Calibri" w:hAnsi="Calibri" w:cs="Calibri"/>
          <w:sz w:val="22"/>
          <w:szCs w:val="22"/>
          <w:lang w:val="es-CR" w:eastAsia="en-US"/>
        </w:rPr>
      </w:pPr>
      <w:r>
        <w:rPr>
          <w:rFonts w:ascii="Calibri" w:eastAsia="Calibri" w:hAnsi="Calibri" w:cs="Calibri"/>
          <w:sz w:val="22"/>
          <w:szCs w:val="22"/>
          <w:lang w:val="es-CR" w:eastAsia="en-US"/>
        </w:rPr>
        <w:t xml:space="preserve">Ficha </w:t>
      </w:r>
      <w:r w:rsidRPr="00C27CBF">
        <w:rPr>
          <w:rFonts w:ascii="Calibri" w:eastAsia="Calibri" w:hAnsi="Calibri" w:cs="Calibri"/>
          <w:sz w:val="22"/>
          <w:szCs w:val="22"/>
          <w:lang w:val="es-CR" w:eastAsia="en-US"/>
        </w:rPr>
        <w:t>técnica</w:t>
      </w:r>
      <w:r>
        <w:rPr>
          <w:rFonts w:ascii="Calibri" w:eastAsia="Calibri" w:hAnsi="Calibri" w:cs="Calibri"/>
          <w:sz w:val="22"/>
          <w:szCs w:val="22"/>
          <w:lang w:val="es-CR" w:eastAsia="en-US"/>
        </w:rPr>
        <w:t xml:space="preserve"> del indicador</w:t>
      </w:r>
    </w:p>
    <w:p w:rsidR="00ED2F48" w:rsidRPr="00C27CBF" w:rsidRDefault="00ED2F48" w:rsidP="00ED2F48">
      <w:pPr>
        <w:spacing w:line="360" w:lineRule="auto"/>
        <w:rPr>
          <w:rFonts w:ascii="Calibri" w:eastAsia="Calibri" w:hAnsi="Calibri" w:cs="Calibri"/>
          <w:sz w:val="22"/>
          <w:szCs w:val="22"/>
          <w:lang w:val="es-CR" w:eastAsia="en-US"/>
        </w:rPr>
      </w:pPr>
      <w:r>
        <w:rPr>
          <w:rFonts w:ascii="Calibri" w:eastAsia="Calibri" w:hAnsi="Calibri" w:cs="Calibri"/>
          <w:sz w:val="22"/>
          <w:szCs w:val="22"/>
          <w:lang w:val="es-CR" w:eastAsia="en-US"/>
        </w:rPr>
        <w:t xml:space="preserve">Nombre del indicador: </w:t>
      </w:r>
      <w:r w:rsidR="00742806" w:rsidRPr="00742806">
        <w:rPr>
          <w:rFonts w:ascii="Calibri" w:eastAsia="Calibri" w:hAnsi="Calibri" w:cs="Calibri"/>
          <w:sz w:val="22"/>
          <w:szCs w:val="22"/>
          <w:lang w:val="es-CR" w:eastAsia="en-US"/>
        </w:rPr>
        <w:t>Reducir del tiempo en días de atención de la concesión superficial de agua.</w:t>
      </w:r>
    </w:p>
    <w:tbl>
      <w:tblPr>
        <w:tblStyle w:val="GFATableGrid1"/>
        <w:tblW w:w="9067" w:type="dxa"/>
        <w:tblLook w:val="01E0" w:firstRow="1" w:lastRow="1" w:firstColumn="1" w:lastColumn="1" w:noHBand="0" w:noVBand="0"/>
      </w:tblPr>
      <w:tblGrid>
        <w:gridCol w:w="1417"/>
        <w:gridCol w:w="1341"/>
        <w:gridCol w:w="6309"/>
      </w:tblGrid>
      <w:tr w:rsidR="00ED2F48" w:rsidRPr="002F3CEF" w:rsidTr="00475B39">
        <w:trPr>
          <w:trHeight w:val="325"/>
          <w:tblHeader/>
        </w:trPr>
        <w:tc>
          <w:tcPr>
            <w:tcW w:w="2758" w:type="dxa"/>
            <w:gridSpan w:val="2"/>
            <w:shd w:val="clear" w:color="auto" w:fill="E7E6E6" w:themeFill="background2"/>
            <w:hideMark/>
          </w:tcPr>
          <w:p w:rsidR="00ED2F48" w:rsidRPr="002F3CEF" w:rsidRDefault="00ED2F48" w:rsidP="00475B39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Elemento</w:t>
            </w:r>
          </w:p>
        </w:tc>
        <w:tc>
          <w:tcPr>
            <w:tcW w:w="6309" w:type="dxa"/>
            <w:shd w:val="clear" w:color="auto" w:fill="E7E6E6" w:themeFill="background2"/>
            <w:hideMark/>
          </w:tcPr>
          <w:p w:rsidR="00ED2F48" w:rsidRPr="002F3CEF" w:rsidRDefault="00ED2F48" w:rsidP="00475B39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Descripción</w:t>
            </w:r>
          </w:p>
        </w:tc>
      </w:tr>
      <w:tr w:rsidR="00ED2F48" w:rsidRPr="002F3CEF" w:rsidTr="00475B39">
        <w:trPr>
          <w:trHeight w:val="434"/>
        </w:trPr>
        <w:tc>
          <w:tcPr>
            <w:tcW w:w="2758" w:type="dxa"/>
            <w:gridSpan w:val="2"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Nombre del indicador</w:t>
            </w:r>
          </w:p>
        </w:tc>
        <w:tc>
          <w:tcPr>
            <w:tcW w:w="6309" w:type="dxa"/>
          </w:tcPr>
          <w:p w:rsidR="00ED2F48" w:rsidRPr="002F3CEF" w:rsidRDefault="00742806" w:rsidP="00475B39">
            <w:pPr>
              <w:pStyle w:val="Sinespaciado"/>
              <w:jc w:val="both"/>
              <w:rPr>
                <w:rFonts w:ascii="Arial Narrow" w:hAnsi="Arial Narrow"/>
                <w:sz w:val="18"/>
                <w:szCs w:val="18"/>
                <w:lang w:val="es-CR" w:eastAsia="en-US"/>
              </w:rPr>
            </w:pPr>
            <w:r w:rsidRPr="00742806">
              <w:rPr>
                <w:rFonts w:ascii="Calibri" w:eastAsia="Calibri" w:hAnsi="Calibri" w:cs="Calibri"/>
                <w:sz w:val="22"/>
                <w:szCs w:val="22"/>
                <w:lang w:val="es-CR" w:eastAsia="en-US"/>
              </w:rPr>
              <w:t>Reducir del tiempo en días de atención de la concesión superficial de agua.</w:t>
            </w:r>
          </w:p>
        </w:tc>
      </w:tr>
      <w:tr w:rsidR="00ED2F48" w:rsidRPr="002F3CEF" w:rsidTr="00475B39">
        <w:trPr>
          <w:trHeight w:val="437"/>
        </w:trPr>
        <w:tc>
          <w:tcPr>
            <w:tcW w:w="2758" w:type="dxa"/>
            <w:gridSpan w:val="2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sz w:val="18"/>
                <w:szCs w:val="18"/>
                <w:lang w:val="es-CR"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val="es-CR" w:eastAsia="en-US"/>
              </w:rPr>
              <w:t>Definición conceptual</w:t>
            </w:r>
          </w:p>
        </w:tc>
        <w:tc>
          <w:tcPr>
            <w:tcW w:w="6309" w:type="dxa"/>
            <w:hideMark/>
          </w:tcPr>
          <w:p w:rsidR="00ED2F48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  <w:r w:rsidRPr="00F12183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La Dirección de Agua en su proceso de mejora continua y regulación de los trámites, está enfocada atender las solicitudes de los usuarios en un menor tiempo. Lo anterior, mediante una optimización de sus procesos, eliminando o ajustando pasos y requisitos que no generan valor. Esta optimización, está alineada a lo establecido en el Plan de Mejora Regulatoria (PMR) 2019 y al proyecto de Ventanilla Única de Inversión (VUI). Se tiene programado la optimización de los siguientes trámites: Permisos de perforación de poz</w:t>
            </w:r>
            <w:r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os</w:t>
            </w:r>
            <w:r w:rsidRPr="00F12183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 xml:space="preserve">, concesión de agua superficial y el permiso de vertidos de agua residuales. </w:t>
            </w:r>
          </w:p>
          <w:p w:rsidR="00ED2F48" w:rsidRPr="00133CBE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</w:p>
        </w:tc>
      </w:tr>
      <w:tr w:rsidR="00ED2F48" w:rsidRPr="002F3CEF" w:rsidTr="00475B39">
        <w:trPr>
          <w:trHeight w:val="531"/>
        </w:trPr>
        <w:tc>
          <w:tcPr>
            <w:tcW w:w="2758" w:type="dxa"/>
            <w:gridSpan w:val="2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 xml:space="preserve">Fórmula de cálculo </w:t>
            </w:r>
          </w:p>
        </w:tc>
        <w:tc>
          <w:tcPr>
            <w:tcW w:w="6309" w:type="dxa"/>
            <w:hideMark/>
          </w:tcPr>
          <w:p w:rsidR="00ED2F48" w:rsidRPr="006E0067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highlight w:val="yellow"/>
                <w:lang w:val="es-CR" w:eastAsia="en-US"/>
              </w:rPr>
            </w:pPr>
            <w:r w:rsidRPr="001D51EB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 xml:space="preserve">Cantidad de días reducidos </w:t>
            </w:r>
          </w:p>
        </w:tc>
      </w:tr>
      <w:tr w:rsidR="00ED2F48" w:rsidRPr="002F3CEF" w:rsidTr="00475B39">
        <w:trPr>
          <w:trHeight w:val="340"/>
        </w:trPr>
        <w:tc>
          <w:tcPr>
            <w:tcW w:w="2758" w:type="dxa"/>
            <w:gridSpan w:val="2"/>
          </w:tcPr>
          <w:p w:rsidR="00ED2F48" w:rsidRPr="004E7649" w:rsidRDefault="00CC6B0A" w:rsidP="00CC6B0A">
            <w:pPr>
              <w:pStyle w:val="Sinespaciado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Componentes involucrados en la fórmula</w:t>
            </w:r>
            <w:r w:rsidR="00ED2F48" w:rsidRPr="004E7649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 xml:space="preserve"> de</w:t>
            </w:r>
            <w:r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l</w:t>
            </w:r>
            <w:r w:rsidR="00ED2F48" w:rsidRPr="004E7649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 xml:space="preserve"> cálculo</w:t>
            </w:r>
          </w:p>
        </w:tc>
        <w:tc>
          <w:tcPr>
            <w:tcW w:w="6309" w:type="dxa"/>
          </w:tcPr>
          <w:p w:rsidR="00ED2F48" w:rsidRPr="004E7649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  <w:r w:rsidRPr="004E7649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Días requeridos para la resolución de trámites</w:t>
            </w:r>
          </w:p>
        </w:tc>
      </w:tr>
      <w:tr w:rsidR="00ED2F48" w:rsidRPr="002F3CEF" w:rsidTr="00475B39">
        <w:trPr>
          <w:trHeight w:val="340"/>
        </w:trPr>
        <w:tc>
          <w:tcPr>
            <w:tcW w:w="2758" w:type="dxa"/>
            <w:gridSpan w:val="2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Unidad de medida</w:t>
            </w:r>
          </w:p>
        </w:tc>
        <w:tc>
          <w:tcPr>
            <w:tcW w:w="6309" w:type="dxa"/>
          </w:tcPr>
          <w:p w:rsidR="00ED2F48" w:rsidRPr="006E0067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highlight w:val="yellow"/>
                <w:lang w:val="es-CR" w:eastAsia="en-US"/>
              </w:rPr>
            </w:pPr>
            <w:r w:rsidRPr="0013435E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Porcentaje</w:t>
            </w:r>
          </w:p>
        </w:tc>
      </w:tr>
      <w:tr w:rsidR="00ED2F48" w:rsidRPr="002F3CEF" w:rsidTr="00475B39">
        <w:trPr>
          <w:trHeight w:val="302"/>
        </w:trPr>
        <w:tc>
          <w:tcPr>
            <w:tcW w:w="2758" w:type="dxa"/>
            <w:gridSpan w:val="2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Interpretación</w:t>
            </w:r>
          </w:p>
        </w:tc>
        <w:tc>
          <w:tcPr>
            <w:tcW w:w="6309" w:type="dxa"/>
            <w:hideMark/>
          </w:tcPr>
          <w:p w:rsidR="00ED2F48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color w:val="FF0000"/>
                <w:sz w:val="18"/>
                <w:szCs w:val="18"/>
                <w:lang w:val="es-CR" w:eastAsia="en-US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El indicador corresponde a la cantidad de días reducidos durante un periodo de tiempo, la interpretación entonces de este indicador es días menos requeridos para la resolución de un trámite en la Dirección de Agua.</w:t>
            </w:r>
            <w:r w:rsidRPr="002F3CEF">
              <w:rPr>
                <w:rFonts w:ascii="Arial Narrow" w:hAnsi="Arial Narrow"/>
                <w:bCs/>
                <w:color w:val="FF0000"/>
                <w:sz w:val="18"/>
                <w:szCs w:val="18"/>
                <w:lang w:val="es-CR" w:eastAsia="en-US"/>
              </w:rPr>
              <w:t xml:space="preserve">   </w:t>
            </w:r>
          </w:p>
          <w:p w:rsidR="00ED2F48" w:rsidRPr="002F3CEF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</w:p>
        </w:tc>
      </w:tr>
      <w:tr w:rsidR="00ED2F48" w:rsidRPr="002F3CEF" w:rsidTr="00475B39">
        <w:trPr>
          <w:trHeight w:val="240"/>
        </w:trPr>
        <w:tc>
          <w:tcPr>
            <w:tcW w:w="1417" w:type="dxa"/>
            <w:vMerge w:val="restart"/>
            <w:vAlign w:val="center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Desagregación</w:t>
            </w:r>
          </w:p>
        </w:tc>
        <w:tc>
          <w:tcPr>
            <w:tcW w:w="1341" w:type="dxa"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val="es-CR" w:eastAsia="en-US"/>
              </w:rPr>
            </w:pPr>
            <w:r w:rsidRPr="002F3CEF">
              <w:rPr>
                <w:rFonts w:ascii="Arial Narrow" w:hAnsi="Arial Narrow"/>
                <w:b/>
                <w:bCs/>
                <w:sz w:val="18"/>
                <w:szCs w:val="18"/>
                <w:lang w:val="es-CR" w:eastAsia="en-US"/>
              </w:rPr>
              <w:t>Geográfica</w:t>
            </w:r>
          </w:p>
        </w:tc>
        <w:tc>
          <w:tcPr>
            <w:tcW w:w="6309" w:type="dxa"/>
            <w:hideMark/>
          </w:tcPr>
          <w:p w:rsidR="00ED2F48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El indicador no presenta desagregación ya que se establece a nivel nacional</w:t>
            </w:r>
          </w:p>
          <w:p w:rsidR="00ED2F48" w:rsidRPr="002F3CEF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</w:p>
        </w:tc>
      </w:tr>
      <w:tr w:rsidR="00ED2F48" w:rsidRPr="002F3CEF" w:rsidTr="00475B39">
        <w:trPr>
          <w:trHeight w:val="240"/>
        </w:trPr>
        <w:tc>
          <w:tcPr>
            <w:tcW w:w="1417" w:type="dxa"/>
            <w:vMerge/>
          </w:tcPr>
          <w:p w:rsidR="00ED2F48" w:rsidRPr="002F3CEF" w:rsidRDefault="00ED2F48" w:rsidP="00475B39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R" w:eastAsia="en-US"/>
              </w:rPr>
            </w:pPr>
          </w:p>
        </w:tc>
        <w:tc>
          <w:tcPr>
            <w:tcW w:w="1341" w:type="dxa"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Temática</w:t>
            </w:r>
          </w:p>
        </w:tc>
        <w:tc>
          <w:tcPr>
            <w:tcW w:w="6309" w:type="dxa"/>
          </w:tcPr>
          <w:p w:rsidR="00ED2F48" w:rsidRDefault="00ED2F48" w:rsidP="00475B39">
            <w:pPr>
              <w:pStyle w:val="Sinespaciado"/>
              <w:jc w:val="both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El indicador no hace énfasis en características especificas</w:t>
            </w:r>
          </w:p>
          <w:p w:rsidR="00ED2F48" w:rsidRPr="00133CBE" w:rsidRDefault="00ED2F48" w:rsidP="00475B39">
            <w:pPr>
              <w:pStyle w:val="Sinespaciado"/>
              <w:jc w:val="both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ED2F48" w:rsidRPr="002F3CEF" w:rsidTr="00475B39">
        <w:trPr>
          <w:trHeight w:val="475"/>
        </w:trPr>
        <w:tc>
          <w:tcPr>
            <w:tcW w:w="2758" w:type="dxa"/>
            <w:gridSpan w:val="2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Línea base</w:t>
            </w:r>
          </w:p>
        </w:tc>
        <w:tc>
          <w:tcPr>
            <w:tcW w:w="6309" w:type="dxa"/>
            <w:hideMark/>
          </w:tcPr>
          <w:p w:rsidR="00ED2F48" w:rsidRPr="00133CBE" w:rsidRDefault="00ED2F48" w:rsidP="00475B39">
            <w:pPr>
              <w:pStyle w:val="Sinespaciado"/>
              <w:jc w:val="both"/>
              <w:rPr>
                <w:rFonts w:ascii="Arial Narrow" w:hAnsi="Arial Narrow"/>
                <w:sz w:val="18"/>
                <w:szCs w:val="18"/>
                <w:lang w:val="es-CR" w:eastAsia="en-US"/>
              </w:rPr>
            </w:pPr>
            <w:r w:rsidRPr="00E202C1">
              <w:rPr>
                <w:rFonts w:ascii="Arial Narrow" w:hAnsi="Arial Narrow"/>
                <w:sz w:val="18"/>
                <w:szCs w:val="18"/>
                <w:lang w:val="es-CR" w:eastAsia="en-US"/>
              </w:rPr>
              <w:t>752 días naturales de duración para la resolución de tramites</w:t>
            </w:r>
          </w:p>
        </w:tc>
      </w:tr>
      <w:tr w:rsidR="00ED2F48" w:rsidRPr="002F3CEF" w:rsidTr="00475B39">
        <w:trPr>
          <w:trHeight w:val="291"/>
        </w:trPr>
        <w:tc>
          <w:tcPr>
            <w:tcW w:w="2758" w:type="dxa"/>
            <w:gridSpan w:val="2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Meta</w:t>
            </w:r>
          </w:p>
        </w:tc>
        <w:tc>
          <w:tcPr>
            <w:tcW w:w="6309" w:type="dxa"/>
            <w:hideMark/>
          </w:tcPr>
          <w:p w:rsidR="00ED2F48" w:rsidRDefault="00ED2F48" w:rsidP="00475B39">
            <w:pPr>
              <w:pStyle w:val="Sinespaciado"/>
              <w:jc w:val="both"/>
              <w:rPr>
                <w:rFonts w:ascii="Arial Narrow" w:hAnsi="Arial Narrow"/>
                <w:sz w:val="18"/>
                <w:szCs w:val="18"/>
                <w:lang w:val="es-CR" w:eastAsia="en-US"/>
              </w:rPr>
            </w:pPr>
            <w:r w:rsidRPr="002F3CEF">
              <w:rPr>
                <w:rFonts w:ascii="Arial Narrow" w:hAnsi="Arial Narrow"/>
                <w:sz w:val="18"/>
                <w:szCs w:val="18"/>
                <w:lang w:val="es-CR" w:eastAsia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s-CR" w:eastAsia="en-US"/>
              </w:rPr>
              <w:t>Reducción en un 50% el tiempo de resolución de los trámites</w:t>
            </w:r>
          </w:p>
          <w:p w:rsidR="00ED2F48" w:rsidRPr="002F3CEF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</w:p>
        </w:tc>
      </w:tr>
      <w:tr w:rsidR="00ED2F48" w:rsidRPr="002F3CEF" w:rsidTr="00475B39">
        <w:trPr>
          <w:trHeight w:val="531"/>
        </w:trPr>
        <w:tc>
          <w:tcPr>
            <w:tcW w:w="2758" w:type="dxa"/>
            <w:gridSpan w:val="2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 xml:space="preserve">Periodicidad </w:t>
            </w:r>
          </w:p>
        </w:tc>
        <w:tc>
          <w:tcPr>
            <w:tcW w:w="6309" w:type="dxa"/>
            <w:hideMark/>
          </w:tcPr>
          <w:p w:rsidR="00ED2F48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Los datos para el cálculo del indicador serán obtenidos y analizados de manera semestral</w:t>
            </w:r>
          </w:p>
          <w:p w:rsidR="00ED2F48" w:rsidRPr="002F3CEF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</w:p>
        </w:tc>
      </w:tr>
      <w:tr w:rsidR="00ED2F48" w:rsidRPr="002F3CEF" w:rsidTr="00475B39">
        <w:trPr>
          <w:trHeight w:val="453"/>
        </w:trPr>
        <w:tc>
          <w:tcPr>
            <w:tcW w:w="2758" w:type="dxa"/>
            <w:gridSpan w:val="2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Fuente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 xml:space="preserve"> de información</w:t>
            </w:r>
          </w:p>
        </w:tc>
        <w:tc>
          <w:tcPr>
            <w:tcW w:w="6309" w:type="dxa"/>
          </w:tcPr>
          <w:p w:rsidR="00ED2F48" w:rsidRDefault="00ED2F48" w:rsidP="00475B39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Departamento de Desarrollo Hídrico – Dirección de Agua Minae</w:t>
            </w:r>
          </w:p>
          <w:p w:rsidR="00ED2F48" w:rsidRPr="002F3CEF" w:rsidRDefault="00ED2F48" w:rsidP="00475B39">
            <w:pPr>
              <w:rPr>
                <w:rFonts w:ascii="Arial Narrow" w:hAnsi="Arial Narrow"/>
                <w:bCs/>
                <w:strike/>
                <w:sz w:val="18"/>
                <w:szCs w:val="18"/>
                <w:lang w:val="es-CR"/>
              </w:rPr>
            </w:pPr>
          </w:p>
        </w:tc>
      </w:tr>
      <w:tr w:rsidR="00ED2F48" w:rsidRPr="002F3CEF" w:rsidTr="00475B39">
        <w:trPr>
          <w:trHeight w:val="290"/>
        </w:trPr>
        <w:tc>
          <w:tcPr>
            <w:tcW w:w="2758" w:type="dxa"/>
            <w:gridSpan w:val="2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Clasificación</w:t>
            </w:r>
          </w:p>
        </w:tc>
        <w:tc>
          <w:tcPr>
            <w:tcW w:w="6309" w:type="dxa"/>
            <w:hideMark/>
          </w:tcPr>
          <w:p w:rsidR="00ED2F48" w:rsidRPr="002F3CEF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() Impacto.</w:t>
            </w:r>
          </w:p>
          <w:p w:rsidR="00ED2F48" w:rsidRPr="002F3CEF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(</w:t>
            </w:r>
            <w:r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X</w:t>
            </w:r>
            <w:r w:rsidRPr="002F3CEF"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) Efecto.</w:t>
            </w:r>
          </w:p>
          <w:p w:rsidR="00ED2F48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() Producto.</w:t>
            </w:r>
          </w:p>
          <w:p w:rsidR="00ED2F48" w:rsidRPr="002F3CEF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</w:p>
        </w:tc>
      </w:tr>
      <w:tr w:rsidR="00ED2F48" w:rsidRPr="002F3CEF" w:rsidTr="00475B39">
        <w:trPr>
          <w:trHeight w:val="393"/>
        </w:trPr>
        <w:tc>
          <w:tcPr>
            <w:tcW w:w="2758" w:type="dxa"/>
            <w:gridSpan w:val="2"/>
            <w:hideMark/>
          </w:tcPr>
          <w:p w:rsidR="00ED2F48" w:rsidRPr="00B90C60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B90C60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Tipo de operación estadística</w:t>
            </w:r>
          </w:p>
        </w:tc>
        <w:tc>
          <w:tcPr>
            <w:tcW w:w="6309" w:type="dxa"/>
            <w:hideMark/>
          </w:tcPr>
          <w:p w:rsidR="00ED2F48" w:rsidRPr="00883DFE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  <w:r w:rsidRPr="00883DFE"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Registro administrativo</w:t>
            </w:r>
            <w:r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 xml:space="preserve"> de la institución</w:t>
            </w:r>
          </w:p>
          <w:p w:rsidR="00ED2F48" w:rsidRPr="00B90C60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</w:p>
        </w:tc>
      </w:tr>
      <w:tr w:rsidR="00ED2F48" w:rsidRPr="002F3CEF" w:rsidTr="00475B39">
        <w:trPr>
          <w:trHeight w:val="522"/>
        </w:trPr>
        <w:tc>
          <w:tcPr>
            <w:tcW w:w="2758" w:type="dxa"/>
            <w:gridSpan w:val="2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Comentarios generales</w:t>
            </w:r>
          </w:p>
        </w:tc>
        <w:tc>
          <w:tcPr>
            <w:tcW w:w="6309" w:type="dxa"/>
            <w:hideMark/>
          </w:tcPr>
          <w:p w:rsidR="00ED2F48" w:rsidRPr="009D3F46" w:rsidRDefault="00ED2F48" w:rsidP="00475B39">
            <w:pPr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  <w:r w:rsidRPr="009D3F46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Como línea base del indicador se incluyó el tiempo registrado en el documento del PNDIP</w:t>
            </w:r>
          </w:p>
          <w:p w:rsidR="00ED2F48" w:rsidRPr="002F3CEF" w:rsidRDefault="00ED2F48" w:rsidP="00475B39">
            <w:pPr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  <w:r w:rsidRPr="009D3F46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La reducción de los tiempos, está sujeta a la aprobación presupuestaria, comportamiento de la demanda y personal disponible.</w:t>
            </w:r>
          </w:p>
        </w:tc>
      </w:tr>
    </w:tbl>
    <w:p w:rsidR="00ED2F48" w:rsidRDefault="00ED2F48" w:rsidP="00ED2F48"/>
    <w:p w:rsidR="00ED2F48" w:rsidRDefault="00ED2F48" w:rsidP="00ED2F48"/>
    <w:p w:rsidR="00ED2F48" w:rsidRDefault="00ED2F48" w:rsidP="00ED2F48"/>
    <w:p w:rsidR="00877EFD" w:rsidRDefault="00877EFD"/>
    <w:sectPr w:rsidR="00877E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C60"/>
    <w:rsid w:val="000035EC"/>
    <w:rsid w:val="00005D90"/>
    <w:rsid w:val="00072D6C"/>
    <w:rsid w:val="00114FC0"/>
    <w:rsid w:val="00133CBE"/>
    <w:rsid w:val="00196D5F"/>
    <w:rsid w:val="001B04EE"/>
    <w:rsid w:val="001D51EB"/>
    <w:rsid w:val="001F66FC"/>
    <w:rsid w:val="00310F07"/>
    <w:rsid w:val="003E6DDB"/>
    <w:rsid w:val="004E7649"/>
    <w:rsid w:val="004F4BEA"/>
    <w:rsid w:val="005E4E44"/>
    <w:rsid w:val="00645005"/>
    <w:rsid w:val="006559E5"/>
    <w:rsid w:val="006A605F"/>
    <w:rsid w:val="006E0067"/>
    <w:rsid w:val="00742806"/>
    <w:rsid w:val="007867D8"/>
    <w:rsid w:val="00877EFD"/>
    <w:rsid w:val="00883DFE"/>
    <w:rsid w:val="00883EE5"/>
    <w:rsid w:val="008C1973"/>
    <w:rsid w:val="0091119A"/>
    <w:rsid w:val="009F17A3"/>
    <w:rsid w:val="00A631BA"/>
    <w:rsid w:val="00AA1261"/>
    <w:rsid w:val="00AE0EBA"/>
    <w:rsid w:val="00B21F66"/>
    <w:rsid w:val="00B644B7"/>
    <w:rsid w:val="00B827E3"/>
    <w:rsid w:val="00B90C60"/>
    <w:rsid w:val="00BC405A"/>
    <w:rsid w:val="00C441BD"/>
    <w:rsid w:val="00CC6B0A"/>
    <w:rsid w:val="00D10B4F"/>
    <w:rsid w:val="00E202C1"/>
    <w:rsid w:val="00E62B3B"/>
    <w:rsid w:val="00E96361"/>
    <w:rsid w:val="00ED2F48"/>
    <w:rsid w:val="00EE415D"/>
    <w:rsid w:val="00F0146A"/>
    <w:rsid w:val="00F1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9A99D-DE0A-4971-A0F2-42510093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90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GFATableGrid1">
    <w:name w:val="GFA Table Grid1"/>
    <w:basedOn w:val="Tablanormal"/>
    <w:next w:val="Tablaconcuadrcula"/>
    <w:uiPriority w:val="59"/>
    <w:rsid w:val="00B90C60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B90C6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90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1028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Barboza Calvo</dc:creator>
  <cp:keywords/>
  <dc:description/>
  <cp:lastModifiedBy>usuario</cp:lastModifiedBy>
  <cp:revision>2</cp:revision>
  <dcterms:created xsi:type="dcterms:W3CDTF">2021-02-15T16:27:00Z</dcterms:created>
  <dcterms:modified xsi:type="dcterms:W3CDTF">2021-02-15T16:27:00Z</dcterms:modified>
</cp:coreProperties>
</file>